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 价 函</w:t>
      </w:r>
    </w:p>
    <w:p>
      <w:pPr>
        <w:jc w:val="left"/>
        <w:rPr>
          <w:rFonts w:hint="eastAsia" w:asciiTheme="minorEastAsia" w:hAnsiTheme="minorEastAsia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南宁嘉通置业有限责任公司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我司已经认真审阅南宁经济技术开发区吴圩镇棚户改造项目（新港家园）人防门槛整改加固工程（重）施工图纸，经我司研究：本次报价为人民币大写：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>元整包干（￥：）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同时，我司承诺：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本次报价已经包含了人工费、材料费、机械费、管理费、安全文明施工费、地下室暗室施工增加费、垃圾清理费、利润、增值税普通发票税金、差旅费等各种费用。报价为总价包干。包干范围为图纸范围内的GHSFM6030（5）、GHSFM6025（6）、FMDB6027（5）、FMDB6027（6）等型号共计22樘人防密闭门或封堵板的门槛整改加固工作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我司接到贵司通知后30个日历天内完成本工程所有内容。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我司同意：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（1）协助贵司办理人防验收工作，并承担相关费用（如发生）。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（2）本工程无预付款，施工完成经贵司验收合格后14天内，贵司一次性将本工程费用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元</w:t>
      </w:r>
      <w:r>
        <w:rPr>
          <w:rFonts w:hint="eastAsia" w:ascii="仿宋" w:hAnsi="仿宋" w:eastAsia="仿宋" w:cs="仿宋"/>
          <w:sz w:val="32"/>
          <w:szCs w:val="32"/>
        </w:rPr>
        <w:t>支付给我司。贵司付款前，我司将提供等额的增值税普通发票。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报价单位（盖章）：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法定代表人或委托代理人：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营业执照、资质证书及企业安全生产许可证复印件加盖公章（无需密封，放在文件袋外）。</w:t>
      </w:r>
    </w:p>
    <w:p>
      <w:pPr>
        <w:ind w:firstLine="1440" w:firstLineChars="4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授权委托书原件、受委托人身份证及法定代表人身份证复印件加盖公章（无需密封，放在文件袋外）</w:t>
      </w:r>
    </w:p>
    <w:p>
      <w:pPr>
        <w:ind w:firstLine="4340" w:firstLineChars="1550"/>
        <w:rPr>
          <w:rFonts w:asciiTheme="minorEastAsia" w:hAnsiTheme="minorEastAsia"/>
          <w:sz w:val="28"/>
          <w:szCs w:val="28"/>
        </w:rPr>
      </w:pPr>
    </w:p>
    <w:p>
      <w:pPr>
        <w:ind w:firstLine="4340" w:firstLineChars="1550"/>
        <w:rPr>
          <w:rFonts w:asciiTheme="minorEastAsia" w:hAnsiTheme="minorEastAsia"/>
          <w:sz w:val="28"/>
          <w:szCs w:val="28"/>
        </w:rPr>
      </w:pPr>
    </w:p>
    <w:p>
      <w:pPr>
        <w:ind w:firstLine="4340" w:firstLineChars="1550"/>
        <w:rPr>
          <w:rFonts w:asciiTheme="minorEastAsia" w:hAnsiTheme="minorEastAsia"/>
          <w:sz w:val="28"/>
          <w:szCs w:val="28"/>
        </w:rPr>
      </w:pPr>
    </w:p>
    <w:p>
      <w:pPr>
        <w:ind w:firstLine="4340" w:firstLineChars="1550"/>
        <w:rPr>
          <w:rFonts w:asciiTheme="minorEastAsia" w:hAnsiTheme="minorEastAsia"/>
          <w:sz w:val="28"/>
          <w:szCs w:val="28"/>
        </w:rPr>
      </w:pPr>
    </w:p>
    <w:p>
      <w:pPr>
        <w:ind w:firstLine="4340" w:firstLineChars="1550"/>
        <w:rPr>
          <w:rFonts w:asciiTheme="minorEastAsia" w:hAnsiTheme="minorEastAsia"/>
          <w:sz w:val="28"/>
          <w:szCs w:val="28"/>
        </w:rPr>
      </w:pPr>
    </w:p>
    <w:p>
      <w:pPr>
        <w:ind w:firstLine="4340" w:firstLineChars="1550"/>
        <w:rPr>
          <w:rFonts w:asciiTheme="minorEastAsia" w:hAnsiTheme="minorEastAsia"/>
          <w:sz w:val="28"/>
          <w:szCs w:val="28"/>
        </w:rPr>
      </w:pPr>
    </w:p>
    <w:p>
      <w:pPr>
        <w:ind w:firstLine="4340" w:firstLineChars="1550"/>
        <w:rPr>
          <w:rFonts w:asciiTheme="minorEastAsia" w:hAnsiTheme="minor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